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3EC8" w:rsidRPr="00862BAC" w:rsidRDefault="00326A99" w:rsidP="00862BAC">
      <w:pPr>
        <w:spacing w:line="480" w:lineRule="auto"/>
        <w:jc w:val="center"/>
        <w:rPr>
          <w:rFonts w:ascii="Times New Roman" w:hAnsi="Times New Roman" w:cs="Times New Roman"/>
          <w:b/>
          <w:sz w:val="24"/>
          <w:szCs w:val="24"/>
        </w:rPr>
      </w:pPr>
      <w:r w:rsidRPr="00862BAC">
        <w:rPr>
          <w:rFonts w:ascii="Times New Roman" w:hAnsi="Times New Roman" w:cs="Times New Roman"/>
          <w:b/>
          <w:sz w:val="24"/>
          <w:szCs w:val="24"/>
        </w:rPr>
        <w:t>B</w:t>
      </w:r>
      <w:r w:rsidRPr="00862BAC">
        <w:rPr>
          <w:rFonts w:ascii="Times New Roman" w:hAnsi="Times New Roman" w:cs="Times New Roman"/>
          <w:b/>
          <w:sz w:val="24"/>
          <w:szCs w:val="24"/>
        </w:rPr>
        <w:t xml:space="preserve">usiness </w:t>
      </w:r>
      <w:r w:rsidRPr="00862BAC">
        <w:rPr>
          <w:rFonts w:ascii="Times New Roman" w:hAnsi="Times New Roman" w:cs="Times New Roman"/>
          <w:b/>
          <w:sz w:val="24"/>
          <w:szCs w:val="24"/>
        </w:rPr>
        <w:t>L</w:t>
      </w:r>
      <w:r w:rsidRPr="00862BAC">
        <w:rPr>
          <w:rFonts w:ascii="Times New Roman" w:hAnsi="Times New Roman" w:cs="Times New Roman"/>
          <w:b/>
          <w:sz w:val="24"/>
          <w:szCs w:val="24"/>
        </w:rPr>
        <w:t>aw</w:t>
      </w:r>
      <w:r w:rsidRPr="00862BAC">
        <w:rPr>
          <w:rFonts w:ascii="Times New Roman" w:hAnsi="Times New Roman" w:cs="Times New Roman"/>
          <w:b/>
          <w:sz w:val="24"/>
          <w:szCs w:val="24"/>
        </w:rPr>
        <w:t xml:space="preserve"> </w:t>
      </w:r>
      <w:r w:rsidR="00862BAC" w:rsidRPr="00862BAC">
        <w:rPr>
          <w:rFonts w:ascii="Times New Roman" w:hAnsi="Times New Roman" w:cs="Times New Roman"/>
          <w:b/>
          <w:sz w:val="24"/>
          <w:szCs w:val="24"/>
        </w:rPr>
        <w:t>Response</w:t>
      </w:r>
      <w:r w:rsidRPr="00862BAC">
        <w:rPr>
          <w:rFonts w:ascii="Times New Roman" w:hAnsi="Times New Roman" w:cs="Times New Roman"/>
          <w:b/>
          <w:sz w:val="24"/>
          <w:szCs w:val="24"/>
        </w:rPr>
        <w:t xml:space="preserve"> Paper</w:t>
      </w:r>
    </w:p>
    <w:p w:rsidR="00862BAC" w:rsidRPr="00862BAC" w:rsidRDefault="00862BAC" w:rsidP="00862BAC">
      <w:pPr>
        <w:spacing w:line="480" w:lineRule="auto"/>
        <w:ind w:firstLine="720"/>
        <w:rPr>
          <w:rFonts w:ascii="Times New Roman" w:hAnsi="Times New Roman" w:cs="Times New Roman"/>
          <w:sz w:val="24"/>
          <w:szCs w:val="24"/>
        </w:rPr>
      </w:pPr>
      <w:r w:rsidRPr="00862BAC">
        <w:rPr>
          <w:rFonts w:ascii="Times New Roman" w:hAnsi="Times New Roman" w:cs="Times New Roman"/>
          <w:sz w:val="24"/>
          <w:szCs w:val="24"/>
        </w:rPr>
        <w:t xml:space="preserve">Often contract law guides how private entities create and meet mutual obligations, and failure to meet the set standards or agreements results in an aggrieved party suing the other. Nonetheless, enforcing a provision of a contract requires that an offer was made, acceptance issued, and involved the passing of consideration. Both parties have to be competent, and there was legal intent by both parties to make the contract legally binding. One of the legally enforceable clauses within the contract law is the noncompete agreement. In such a case, an employee signs a contract with an employer stating that the former should not work in a competitive environment for a certain amount of time after employment termination. This can be directly working with rivals or starting an enterprise which would mean direct competition with the former employer (Marx and Fleming, 2012). If any violations were to occur, then the employer can sue the former employee for breach of the contract. </w:t>
      </w:r>
    </w:p>
    <w:p w:rsidR="00862BAC" w:rsidRPr="00862BAC" w:rsidRDefault="00862BAC" w:rsidP="00862BAC">
      <w:pPr>
        <w:spacing w:line="480" w:lineRule="auto"/>
        <w:ind w:firstLine="720"/>
        <w:rPr>
          <w:rFonts w:ascii="Times New Roman" w:hAnsi="Times New Roman" w:cs="Times New Roman"/>
          <w:sz w:val="24"/>
          <w:szCs w:val="24"/>
        </w:rPr>
      </w:pPr>
      <w:r w:rsidRPr="00862BAC">
        <w:rPr>
          <w:rFonts w:ascii="Times New Roman" w:hAnsi="Times New Roman" w:cs="Times New Roman"/>
          <w:sz w:val="24"/>
          <w:szCs w:val="24"/>
        </w:rPr>
        <w:t xml:space="preserve">In this case, Clifford Witter is liable to breach of the noncompete clause. He was an employee of Arthur Murray Dance Studios and was under obligation to discharge his duties with loyalty. Given that he signed a noncompete clause, it is assumed that he was of sound mind and properly understood the contract's requirements. This is to mean that after leaving the service with his employer, Arthur Murray Dance Studios, he was barred from engaging in any employment activity that would be interpreted as providing direct competition to his former employer. Besides, it is clear that at the Arthur Murray Dance Studios he was he received certain skills and expertise (or trade secrets) that should not end in the hands of the Studios' competitors. The purpose of the noncompete clause is to protect a former employer from loss of expertise, skills, or trade secrets to rivals. By first agreeing to the noncompete clause and then choosing to </w:t>
      </w:r>
      <w:r w:rsidRPr="00862BAC">
        <w:rPr>
          <w:rFonts w:ascii="Times New Roman" w:hAnsi="Times New Roman" w:cs="Times New Roman"/>
          <w:sz w:val="24"/>
          <w:szCs w:val="24"/>
        </w:rPr>
        <w:lastRenderedPageBreak/>
        <w:t xml:space="preserve">work for Fred Astaire Dancing Studios, which are business rivals to Arthur Murray Dance Studios, the outcome is that Witter is liable for breach of the noncompete clause of the contract. </w:t>
      </w:r>
    </w:p>
    <w:p w:rsidR="008E682C" w:rsidRPr="00862BAC" w:rsidRDefault="00862BAC" w:rsidP="00862BAC">
      <w:pPr>
        <w:spacing w:line="480" w:lineRule="auto"/>
        <w:ind w:firstLine="720"/>
        <w:rPr>
          <w:rFonts w:ascii="Times New Roman" w:hAnsi="Times New Roman" w:cs="Times New Roman"/>
          <w:sz w:val="24"/>
          <w:szCs w:val="24"/>
        </w:rPr>
      </w:pPr>
      <w:r w:rsidRPr="00862BAC">
        <w:rPr>
          <w:rFonts w:ascii="Times New Roman" w:hAnsi="Times New Roman" w:cs="Times New Roman"/>
          <w:sz w:val="24"/>
          <w:szCs w:val="24"/>
        </w:rPr>
        <w:t>In addition, while it is clear that noncompete agreements are treated as legally binding, there is a need to have sufficient grounds ascertaining that Witter actually violated the clause. The key information provided was that Witter was a former employee of Arthur Murray Dance Studios, he signed the noncompete contract, and he now works for Fred Astaire Dancing Studios. First, it is essential to have specific information relating to the signing of the noncompete clause, such as within what realistic timeline was he barred from working with competitors. If, for instance, the clause provided that he is restricted for six months and the time has elapsed, then Witter is not liable for breach of the contract. Additionally, the status of Fred Astaire Dancing Studios should be examined to identify whether it is a competing firm. For instance, Arthur Murray Dance Studios may be training professional dancers while Fred Astaire Dancing Studios are non-competitive and admits candidates for wellness programs only. In such a case where no direct business rivalry can be ascertained, then Witter is not liable. It is also essential to check whether the jurisdiction permit enforcement of non-compete clauses. For instance, North Carolina, and Oklahoma do not regard enforcing the noncompete clause (Doyle, 2020). Therefore, sufficient information is needed to identify whether Witter is liable or not.</w:t>
      </w:r>
    </w:p>
    <w:p w:rsidR="00862BAC" w:rsidRPr="00862BAC" w:rsidRDefault="00862BAC" w:rsidP="00862BAC">
      <w:pPr>
        <w:spacing w:line="480" w:lineRule="auto"/>
        <w:jc w:val="center"/>
        <w:rPr>
          <w:rFonts w:ascii="Times New Roman" w:hAnsi="Times New Roman" w:cs="Times New Roman"/>
          <w:b/>
          <w:sz w:val="24"/>
          <w:szCs w:val="24"/>
        </w:rPr>
      </w:pPr>
    </w:p>
    <w:p w:rsidR="00862BAC" w:rsidRDefault="00862BAC" w:rsidP="00862BAC">
      <w:pPr>
        <w:spacing w:line="480" w:lineRule="auto"/>
        <w:jc w:val="center"/>
        <w:rPr>
          <w:rFonts w:ascii="Times New Roman" w:hAnsi="Times New Roman" w:cs="Times New Roman"/>
          <w:b/>
          <w:sz w:val="24"/>
          <w:szCs w:val="24"/>
        </w:rPr>
      </w:pPr>
    </w:p>
    <w:p w:rsidR="00862BAC" w:rsidRDefault="00862BAC" w:rsidP="00862BAC">
      <w:pPr>
        <w:spacing w:line="480" w:lineRule="auto"/>
        <w:jc w:val="center"/>
        <w:rPr>
          <w:rFonts w:ascii="Times New Roman" w:hAnsi="Times New Roman" w:cs="Times New Roman"/>
          <w:b/>
          <w:sz w:val="24"/>
          <w:szCs w:val="24"/>
        </w:rPr>
      </w:pPr>
    </w:p>
    <w:p w:rsidR="00862BAC" w:rsidRDefault="00862BAC" w:rsidP="00862BAC">
      <w:pPr>
        <w:spacing w:line="480" w:lineRule="auto"/>
        <w:jc w:val="center"/>
        <w:rPr>
          <w:rFonts w:ascii="Times New Roman" w:hAnsi="Times New Roman" w:cs="Times New Roman"/>
          <w:b/>
          <w:sz w:val="24"/>
          <w:szCs w:val="24"/>
        </w:rPr>
      </w:pPr>
    </w:p>
    <w:p w:rsidR="00862BAC" w:rsidRPr="00862BAC" w:rsidRDefault="00862BAC" w:rsidP="00862BAC">
      <w:pPr>
        <w:spacing w:line="480" w:lineRule="auto"/>
        <w:jc w:val="center"/>
        <w:rPr>
          <w:rFonts w:ascii="Times New Roman" w:hAnsi="Times New Roman" w:cs="Times New Roman"/>
          <w:b/>
          <w:sz w:val="24"/>
          <w:szCs w:val="24"/>
        </w:rPr>
      </w:pPr>
    </w:p>
    <w:p w:rsidR="00862BAC" w:rsidRPr="00862BAC" w:rsidRDefault="00862BAC" w:rsidP="00862BAC">
      <w:pPr>
        <w:spacing w:line="480" w:lineRule="auto"/>
        <w:jc w:val="center"/>
        <w:rPr>
          <w:rFonts w:ascii="Times New Roman" w:hAnsi="Times New Roman" w:cs="Times New Roman"/>
          <w:b/>
          <w:sz w:val="24"/>
          <w:szCs w:val="24"/>
        </w:rPr>
      </w:pPr>
      <w:r w:rsidRPr="00862BAC">
        <w:rPr>
          <w:rFonts w:ascii="Times New Roman" w:hAnsi="Times New Roman" w:cs="Times New Roman"/>
          <w:b/>
          <w:sz w:val="24"/>
          <w:szCs w:val="24"/>
        </w:rPr>
        <w:lastRenderedPageBreak/>
        <w:t>References</w:t>
      </w:r>
    </w:p>
    <w:p w:rsidR="00862BAC" w:rsidRPr="00862BAC" w:rsidRDefault="00862BAC" w:rsidP="00862BAC">
      <w:pPr>
        <w:spacing w:after="0" w:line="480" w:lineRule="auto"/>
        <w:ind w:left="1440" w:hanging="1440"/>
        <w:rPr>
          <w:rFonts w:ascii="Times New Roman" w:hAnsi="Times New Roman" w:cs="Times New Roman"/>
          <w:sz w:val="24"/>
          <w:szCs w:val="24"/>
        </w:rPr>
      </w:pPr>
      <w:r w:rsidRPr="00862BAC">
        <w:rPr>
          <w:rFonts w:ascii="Times New Roman" w:hAnsi="Times New Roman" w:cs="Times New Roman"/>
          <w:sz w:val="24"/>
          <w:szCs w:val="24"/>
        </w:rPr>
        <w:t xml:space="preserve">Doyle, A. (2020). </w:t>
      </w:r>
      <w:r w:rsidRPr="00862BAC">
        <w:rPr>
          <w:rFonts w:ascii="Times New Roman" w:hAnsi="Times New Roman" w:cs="Times New Roman"/>
          <w:sz w:val="24"/>
          <w:szCs w:val="24"/>
        </w:rPr>
        <w:t>What Is a Noncompete Agreement</w:t>
      </w:r>
      <w:r w:rsidRPr="00862BAC">
        <w:rPr>
          <w:rFonts w:ascii="Times New Roman" w:hAnsi="Times New Roman" w:cs="Times New Roman"/>
          <w:i/>
          <w:sz w:val="24"/>
          <w:szCs w:val="24"/>
        </w:rPr>
        <w:t>?</w:t>
      </w:r>
      <w:r w:rsidRPr="00862BAC">
        <w:rPr>
          <w:rFonts w:ascii="Times New Roman" w:hAnsi="Times New Roman" w:cs="Times New Roman"/>
          <w:i/>
          <w:sz w:val="24"/>
          <w:szCs w:val="24"/>
        </w:rPr>
        <w:t xml:space="preserve"> The balance careers</w:t>
      </w:r>
      <w:r w:rsidRPr="00862BAC">
        <w:rPr>
          <w:rFonts w:ascii="Times New Roman" w:hAnsi="Times New Roman" w:cs="Times New Roman"/>
          <w:sz w:val="24"/>
          <w:szCs w:val="24"/>
        </w:rPr>
        <w:t>. Retrieved on 20 February 2021 from https://www.thebalancecareers.com/what-is-a-non-compete-agreement-2062045</w:t>
      </w:r>
      <w:bookmarkStart w:id="0" w:name="_GoBack"/>
      <w:bookmarkEnd w:id="0"/>
    </w:p>
    <w:p w:rsidR="00862BAC" w:rsidRPr="00862BAC" w:rsidRDefault="00862BAC" w:rsidP="00862BAC">
      <w:pPr>
        <w:spacing w:after="0" w:line="480" w:lineRule="auto"/>
        <w:ind w:left="1440" w:hanging="1440"/>
        <w:rPr>
          <w:rFonts w:ascii="Times New Roman" w:hAnsi="Times New Roman" w:cs="Times New Roman"/>
          <w:sz w:val="24"/>
          <w:szCs w:val="24"/>
        </w:rPr>
      </w:pPr>
      <w:r w:rsidRPr="00862BAC">
        <w:rPr>
          <w:rFonts w:ascii="Times New Roman" w:hAnsi="Times New Roman" w:cs="Times New Roman"/>
          <w:sz w:val="24"/>
          <w:szCs w:val="24"/>
        </w:rPr>
        <w:t xml:space="preserve">Marx, M., &amp; Fleming, L. (2012). </w:t>
      </w:r>
      <w:r w:rsidRPr="00862BAC">
        <w:rPr>
          <w:rFonts w:ascii="Times New Roman" w:hAnsi="Times New Roman" w:cs="Times New Roman"/>
          <w:iCs/>
          <w:sz w:val="24"/>
          <w:szCs w:val="24"/>
        </w:rPr>
        <w:t xml:space="preserve">Non-compete Agreements: Barriers to Entry … and Exit? </w:t>
      </w:r>
      <w:r w:rsidRPr="00862BAC">
        <w:rPr>
          <w:rFonts w:ascii="Times New Roman" w:hAnsi="Times New Roman" w:cs="Times New Roman"/>
          <w:i/>
          <w:iCs/>
          <w:sz w:val="24"/>
          <w:szCs w:val="24"/>
        </w:rPr>
        <w:t xml:space="preserve">Innovation Policy and the Economy, 12, </w:t>
      </w:r>
      <w:r w:rsidRPr="00862BAC">
        <w:rPr>
          <w:rFonts w:ascii="Times New Roman" w:hAnsi="Times New Roman" w:cs="Times New Roman"/>
          <w:iCs/>
          <w:sz w:val="24"/>
          <w:szCs w:val="24"/>
        </w:rPr>
        <w:t>39–64</w:t>
      </w:r>
      <w:r w:rsidRPr="00862BAC">
        <w:rPr>
          <w:rFonts w:ascii="Times New Roman" w:hAnsi="Times New Roman" w:cs="Times New Roman"/>
          <w:i/>
          <w:iCs/>
          <w:sz w:val="24"/>
          <w:szCs w:val="24"/>
        </w:rPr>
        <w:t>.</w:t>
      </w:r>
      <w:r w:rsidRPr="00862BAC">
        <w:rPr>
          <w:rFonts w:ascii="Times New Roman" w:hAnsi="Times New Roman" w:cs="Times New Roman"/>
          <w:sz w:val="24"/>
          <w:szCs w:val="24"/>
        </w:rPr>
        <w:t xml:space="preserve"> </w:t>
      </w:r>
      <w:r w:rsidRPr="00862BAC">
        <w:rPr>
          <w:rFonts w:ascii="Times New Roman" w:hAnsi="Times New Roman" w:cs="Times New Roman"/>
          <w:sz w:val="24"/>
          <w:szCs w:val="24"/>
        </w:rPr>
        <w:t>D</w:t>
      </w:r>
      <w:r w:rsidRPr="00862BAC">
        <w:rPr>
          <w:rFonts w:ascii="Times New Roman" w:hAnsi="Times New Roman" w:cs="Times New Roman"/>
          <w:sz w:val="24"/>
          <w:szCs w:val="24"/>
        </w:rPr>
        <w:t>oi:</w:t>
      </w:r>
      <w:r w:rsidRPr="00862BAC">
        <w:rPr>
          <w:rFonts w:ascii="Times New Roman" w:hAnsi="Times New Roman" w:cs="Times New Roman"/>
          <w:sz w:val="24"/>
          <w:szCs w:val="24"/>
        </w:rPr>
        <w:t xml:space="preserve"> </w:t>
      </w:r>
      <w:r w:rsidRPr="00862BAC">
        <w:rPr>
          <w:rFonts w:ascii="Times New Roman" w:hAnsi="Times New Roman" w:cs="Times New Roman"/>
          <w:sz w:val="24"/>
          <w:szCs w:val="24"/>
        </w:rPr>
        <w:t>10.1086/663155 </w:t>
      </w:r>
    </w:p>
    <w:p w:rsidR="00862BAC" w:rsidRPr="00862BAC" w:rsidRDefault="00862BAC" w:rsidP="00862BAC">
      <w:pPr>
        <w:spacing w:after="0" w:line="480" w:lineRule="auto"/>
        <w:ind w:left="1440" w:hanging="1440"/>
        <w:rPr>
          <w:rFonts w:ascii="Times New Roman" w:hAnsi="Times New Roman" w:cs="Times New Roman"/>
          <w:sz w:val="24"/>
          <w:szCs w:val="24"/>
        </w:rPr>
      </w:pPr>
    </w:p>
    <w:p w:rsidR="008E682C" w:rsidRPr="00862BAC" w:rsidRDefault="008E682C" w:rsidP="00862BAC">
      <w:pPr>
        <w:spacing w:after="0" w:line="480" w:lineRule="auto"/>
        <w:ind w:left="1440" w:hanging="1440"/>
        <w:rPr>
          <w:rFonts w:ascii="Times New Roman" w:hAnsi="Times New Roman" w:cs="Times New Roman"/>
          <w:sz w:val="24"/>
          <w:szCs w:val="24"/>
        </w:rPr>
      </w:pPr>
    </w:p>
    <w:p w:rsidR="00862BAC" w:rsidRPr="00862BAC" w:rsidRDefault="00862BAC">
      <w:pPr>
        <w:spacing w:after="0" w:line="480" w:lineRule="auto"/>
        <w:ind w:left="1440" w:hanging="1440"/>
        <w:rPr>
          <w:rFonts w:ascii="Times New Roman" w:hAnsi="Times New Roman" w:cs="Times New Roman"/>
          <w:sz w:val="24"/>
          <w:szCs w:val="24"/>
        </w:rPr>
      </w:pPr>
    </w:p>
    <w:sectPr w:rsidR="00862BAC" w:rsidRPr="00862BA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53C3" w:rsidRDefault="000053C3" w:rsidP="00862BAC">
      <w:pPr>
        <w:spacing w:after="0" w:line="240" w:lineRule="auto"/>
      </w:pPr>
      <w:r>
        <w:separator/>
      </w:r>
    </w:p>
  </w:endnote>
  <w:endnote w:type="continuationSeparator" w:id="0">
    <w:p w:rsidR="000053C3" w:rsidRDefault="000053C3" w:rsidP="00862B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53C3" w:rsidRDefault="000053C3" w:rsidP="00862BAC">
      <w:pPr>
        <w:spacing w:after="0" w:line="240" w:lineRule="auto"/>
      </w:pPr>
      <w:r>
        <w:separator/>
      </w:r>
    </w:p>
  </w:footnote>
  <w:footnote w:type="continuationSeparator" w:id="0">
    <w:p w:rsidR="000053C3" w:rsidRDefault="000053C3" w:rsidP="00862B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13114433"/>
      <w:docPartObj>
        <w:docPartGallery w:val="Page Numbers (Top of Page)"/>
        <w:docPartUnique/>
      </w:docPartObj>
    </w:sdtPr>
    <w:sdtEndPr>
      <w:rPr>
        <w:noProof/>
      </w:rPr>
    </w:sdtEndPr>
    <w:sdtContent>
      <w:p w:rsidR="00862BAC" w:rsidRDefault="00862BAC">
        <w:pPr>
          <w:pStyle w:val="Header"/>
          <w:jc w:val="right"/>
        </w:pPr>
        <w:r>
          <w:fldChar w:fldCharType="begin"/>
        </w:r>
        <w:r>
          <w:instrText xml:space="preserve"> PAGE   \* MERGEFORMAT </w:instrText>
        </w:r>
        <w:r>
          <w:fldChar w:fldCharType="separate"/>
        </w:r>
        <w:r w:rsidR="008D03B3">
          <w:rPr>
            <w:noProof/>
          </w:rPr>
          <w:t>2</w:t>
        </w:r>
        <w:r>
          <w:rPr>
            <w:noProof/>
          </w:rPr>
          <w:fldChar w:fldCharType="end"/>
        </w:r>
      </w:p>
    </w:sdtContent>
  </w:sdt>
  <w:p w:rsidR="00862BAC" w:rsidRDefault="00862B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6A99"/>
    <w:rsid w:val="000053C3"/>
    <w:rsid w:val="00326A99"/>
    <w:rsid w:val="00633EC8"/>
    <w:rsid w:val="008271C0"/>
    <w:rsid w:val="00862BAC"/>
    <w:rsid w:val="008D03B3"/>
    <w:rsid w:val="008E682C"/>
    <w:rsid w:val="00AD07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4A2C1D-039E-4855-BDD4-AB04F6EB9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62BAC"/>
    <w:rPr>
      <w:color w:val="0000FF"/>
      <w:u w:val="single"/>
    </w:rPr>
  </w:style>
  <w:style w:type="character" w:customStyle="1" w:styleId="author-separator">
    <w:name w:val="author-separator"/>
    <w:basedOn w:val="DefaultParagraphFont"/>
    <w:rsid w:val="00862BAC"/>
  </w:style>
  <w:style w:type="paragraph" w:styleId="Header">
    <w:name w:val="header"/>
    <w:basedOn w:val="Normal"/>
    <w:link w:val="HeaderChar"/>
    <w:uiPriority w:val="99"/>
    <w:unhideWhenUsed/>
    <w:rsid w:val="00862B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2BAC"/>
  </w:style>
  <w:style w:type="paragraph" w:styleId="Footer">
    <w:name w:val="footer"/>
    <w:basedOn w:val="Normal"/>
    <w:link w:val="FooterChar"/>
    <w:uiPriority w:val="99"/>
    <w:unhideWhenUsed/>
    <w:rsid w:val="00862B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2B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7640806">
      <w:bodyDiv w:val="1"/>
      <w:marLeft w:val="0"/>
      <w:marRight w:val="0"/>
      <w:marTop w:val="0"/>
      <w:marBottom w:val="0"/>
      <w:divBdr>
        <w:top w:val="none" w:sz="0" w:space="0" w:color="auto"/>
        <w:left w:val="none" w:sz="0" w:space="0" w:color="auto"/>
        <w:bottom w:val="none" w:sz="0" w:space="0" w:color="auto"/>
        <w:right w:val="none" w:sz="0" w:space="0" w:color="auto"/>
      </w:divBdr>
      <w:divsChild>
        <w:div w:id="1839955334">
          <w:marLeft w:val="0"/>
          <w:marRight w:val="0"/>
          <w:marTop w:val="0"/>
          <w:marBottom w:val="0"/>
          <w:divBdr>
            <w:top w:val="none" w:sz="0" w:space="0" w:color="auto"/>
            <w:left w:val="none" w:sz="0" w:space="0" w:color="auto"/>
            <w:bottom w:val="none" w:sz="0" w:space="0" w:color="auto"/>
            <w:right w:val="none" w:sz="0" w:space="0" w:color="auto"/>
          </w:divBdr>
        </w:div>
        <w:div w:id="7920941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3</Pages>
  <Words>581</Words>
  <Characters>3316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2021-02-20T07:58:00Z</dcterms:created>
  <dcterms:modified xsi:type="dcterms:W3CDTF">2021-02-20T08:41:00Z</dcterms:modified>
</cp:coreProperties>
</file>